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70A" w:rsidRPr="008A63D1" w:rsidRDefault="00D349BB" w:rsidP="00555668">
      <w:pPr>
        <w:pStyle w:val="Heading1"/>
        <w:ind w:left="-426"/>
      </w:pPr>
      <w:bookmarkStart w:id="0" w:name="_GoBack"/>
      <w:bookmarkEnd w:id="0"/>
      <w:r>
        <w:t>Factsheet</w:t>
      </w:r>
    </w:p>
    <w:p w:rsidR="007D070A" w:rsidRPr="008C5F74" w:rsidRDefault="00D349BB" w:rsidP="007D070A">
      <w:pPr>
        <w:pStyle w:val="Subtitle"/>
      </w:pPr>
      <w:r>
        <w:t>Australian Government Response</w:t>
      </w:r>
    </w:p>
    <w:p w:rsidR="007D070A" w:rsidRPr="007720CB" w:rsidRDefault="00D349BB" w:rsidP="007D070A">
      <w:pPr>
        <w:jc w:val="right"/>
      </w:pPr>
      <w:r>
        <w:t>1</w:t>
      </w:r>
      <w:r w:rsidR="00BF48B2">
        <w:t>3</w:t>
      </w:r>
      <w:r>
        <w:t xml:space="preserve"> June 2018</w:t>
      </w:r>
    </w:p>
    <w:p w:rsidR="007D070A" w:rsidRPr="00253442" w:rsidRDefault="00975679" w:rsidP="007D070A">
      <w:pPr>
        <w:pStyle w:val="Heading2"/>
      </w:pPr>
      <w:r>
        <w:t xml:space="preserve">Royal Commission </w:t>
      </w:r>
      <w:r w:rsidR="000B6D9F">
        <w:t xml:space="preserve">into Institutional Responses to Child </w:t>
      </w:r>
      <w:r w:rsidR="00E420D1">
        <w:t>S</w:t>
      </w:r>
      <w:r w:rsidR="000B6D9F">
        <w:t>exual Abuse</w:t>
      </w:r>
    </w:p>
    <w:p w:rsidR="000B6D9F" w:rsidRDefault="00975679" w:rsidP="000B6D9F">
      <w:pPr>
        <w:rPr>
          <w:b/>
          <w:bCs/>
        </w:rPr>
      </w:pPr>
      <w:r w:rsidRPr="00975679">
        <w:t xml:space="preserve">This Royal Commission was Australia’s longest running public inquiry. </w:t>
      </w:r>
      <w:r w:rsidR="000B6D9F" w:rsidRPr="000B6D9F">
        <w:t>T</w:t>
      </w:r>
      <w:r w:rsidRPr="00975679">
        <w:t xml:space="preserve">he Australian Government committed over $500m to ensure the Royal Commission was able to fulfil its </w:t>
      </w:r>
      <w:r w:rsidR="003F444A">
        <w:t>T</w:t>
      </w:r>
      <w:r w:rsidRPr="00975679">
        <w:t xml:space="preserve">erms of </w:t>
      </w:r>
      <w:r w:rsidR="003F444A">
        <w:t>R</w:t>
      </w:r>
      <w:r w:rsidRPr="00975679">
        <w:t>eference.</w:t>
      </w:r>
    </w:p>
    <w:p w:rsidR="00975679" w:rsidRDefault="00975679" w:rsidP="000B6D9F">
      <w:r>
        <w:t>On Friday 11 January 2013, the Terms of Reference were established and the six Commissioners appointed. The Commissioners were t</w:t>
      </w:r>
      <w:r w:rsidRPr="00975679">
        <w:t xml:space="preserve">he Hon Justice Peter McClellan AM </w:t>
      </w:r>
      <w:r>
        <w:t>(C</w:t>
      </w:r>
      <w:r w:rsidRPr="00975679">
        <w:t>hair of the Royal Commission</w:t>
      </w:r>
      <w:r>
        <w:t>),</w:t>
      </w:r>
      <w:r w:rsidRPr="00975679">
        <w:t xml:space="preserve"> </w:t>
      </w:r>
      <w:r>
        <w:t>Mr Bob </w:t>
      </w:r>
      <w:r w:rsidRPr="00975679">
        <w:t xml:space="preserve">Atkinson AO APM, Justice Jennifer </w:t>
      </w:r>
      <w:proofErr w:type="spellStart"/>
      <w:r w:rsidRPr="00975679">
        <w:t>Coate</w:t>
      </w:r>
      <w:proofErr w:type="spellEnd"/>
      <w:r w:rsidRPr="00975679">
        <w:t>, Mr Robert Fitzgerald AM, Profe</w:t>
      </w:r>
      <w:r>
        <w:t>ssor Helen Milroy and Mr Andrew </w:t>
      </w:r>
      <w:r w:rsidRPr="00975679">
        <w:t>Murray.</w:t>
      </w:r>
    </w:p>
    <w:p w:rsidR="000B6D9F" w:rsidRDefault="000B6D9F" w:rsidP="000B6D9F">
      <w:r>
        <w:t xml:space="preserve">During the five years of the Royal Commission, 16,953 people within the Terms of Reference contacted the Royal Commission, 8,013 private sessions were held, 1,344 written accounts were received and 2,562 matters were referred to police. </w:t>
      </w:r>
    </w:p>
    <w:p w:rsidR="00975679" w:rsidRPr="00975679" w:rsidRDefault="00975679" w:rsidP="000B6D9F">
      <w:pPr>
        <w:pStyle w:val="Heading3"/>
      </w:pPr>
      <w:r>
        <w:t>Final Report</w:t>
      </w:r>
    </w:p>
    <w:p w:rsidR="00975679" w:rsidRPr="000B6D9F" w:rsidRDefault="00975679" w:rsidP="000B6D9F">
      <w:r w:rsidRPr="000B6D9F">
        <w:t>On 15 December 2017, t</w:t>
      </w:r>
      <w:r w:rsidRPr="00975679">
        <w:t xml:space="preserve">he </w:t>
      </w:r>
      <w:r w:rsidR="007007B3">
        <w:t>Royal Commission’s Final Report</w:t>
      </w:r>
      <w:r w:rsidRPr="00975679">
        <w:t xml:space="preserve"> was delivered to the Governor-General</w:t>
      </w:r>
      <w:r w:rsidR="00E420D1">
        <w:t xml:space="preserve"> and tabled in P</w:t>
      </w:r>
      <w:r w:rsidRPr="000B6D9F">
        <w:t>arliament</w:t>
      </w:r>
      <w:r w:rsidRPr="00975679">
        <w:t xml:space="preserve">. </w:t>
      </w:r>
      <w:r w:rsidRPr="000B6D9F">
        <w:t>The Final Report is made up of 17 volume</w:t>
      </w:r>
      <w:r w:rsidR="006C16F5" w:rsidRPr="000B6D9F">
        <w:t xml:space="preserve">s, plus </w:t>
      </w:r>
      <w:r w:rsidR="007007B3">
        <w:t>a</w:t>
      </w:r>
      <w:r w:rsidR="006C16F5" w:rsidRPr="000B6D9F">
        <w:t xml:space="preserve"> preface and executive summar</w:t>
      </w:r>
      <w:r w:rsidR="000B6D9F">
        <w:t>y. The Final Report included 409 recommendations:</w:t>
      </w:r>
      <w:r w:rsidR="00E420D1">
        <w:t xml:space="preserve"> </w:t>
      </w:r>
      <w:r w:rsidRPr="00975679">
        <w:t xml:space="preserve">220 recommendations from three previous Royal Commission reports – </w:t>
      </w:r>
      <w:r w:rsidRPr="000B6D9F">
        <w:rPr>
          <w:i/>
        </w:rPr>
        <w:t>Working with Children Checks</w:t>
      </w:r>
      <w:r w:rsidRPr="00975679">
        <w:t xml:space="preserve">, </w:t>
      </w:r>
      <w:r w:rsidRPr="000B6D9F">
        <w:rPr>
          <w:i/>
        </w:rPr>
        <w:t>Redress and Civil Litigation</w:t>
      </w:r>
      <w:r w:rsidRPr="00975679">
        <w:t xml:space="preserve"> and </w:t>
      </w:r>
      <w:r w:rsidRPr="000B6D9F">
        <w:rPr>
          <w:i/>
        </w:rPr>
        <w:t>Criminal Justice</w:t>
      </w:r>
      <w:r w:rsidR="006C16F5" w:rsidRPr="000B6D9F">
        <w:t xml:space="preserve"> – and 189 new recommendations</w:t>
      </w:r>
      <w:r w:rsidRPr="00975679">
        <w:t>.</w:t>
      </w:r>
      <w:r w:rsidR="007007B3">
        <w:t xml:space="preserve"> Recommendations addressed providing redress for the harm done to children who had experienced sexual abuse in institutions, and forward-looking recommendations to better protect children from sexual abuse, and to make institutions safer for children. </w:t>
      </w:r>
    </w:p>
    <w:p w:rsidR="00E420D1" w:rsidRDefault="00E420D1" w:rsidP="000B6D9F">
      <w:pPr>
        <w:pStyle w:val="Heading3"/>
      </w:pPr>
      <w:r>
        <w:t>Australian Government Response</w:t>
      </w:r>
    </w:p>
    <w:p w:rsidR="00E420D1" w:rsidRDefault="00E420D1" w:rsidP="00E420D1">
      <w:r>
        <w:t xml:space="preserve">The Australian Government Response was tabled out of session in the Senate on </w:t>
      </w:r>
      <w:r w:rsidR="00BF48B2">
        <w:t xml:space="preserve">13 June </w:t>
      </w:r>
      <w:r>
        <w:t xml:space="preserve">2018. </w:t>
      </w:r>
    </w:p>
    <w:p w:rsidR="00E420D1" w:rsidRDefault="00E420D1" w:rsidP="00E420D1">
      <w:r>
        <w:t>Of the 409 recommendations, 84 deal with redress matters</w:t>
      </w:r>
      <w:r w:rsidR="003F444A">
        <w:t xml:space="preserve"> which the Government is addressing through the establishment of the National Redress Scheme scheduled to commence on 1 July 2018</w:t>
      </w:r>
      <w:r>
        <w:t xml:space="preserve">. Of the remaining 325 recommendations, 122 were directed wholly or in part to the Australian Government. The Australian Government </w:t>
      </w:r>
      <w:r w:rsidR="003F444A">
        <w:t xml:space="preserve">has </w:t>
      </w:r>
      <w:r>
        <w:t>accepted or accepted in principle 104 of these 122 recommendations, with the other</w:t>
      </w:r>
      <w:r w:rsidR="003F444A">
        <w:t xml:space="preserve"> 18</w:t>
      </w:r>
      <w:r>
        <w:t xml:space="preserve"> noted or requiring further consideration. </w:t>
      </w:r>
      <w:r w:rsidR="003F444A">
        <w:t xml:space="preserve">The Government has not rejected any of the Royal Commission’s recommendations. </w:t>
      </w:r>
      <w:r w:rsidR="007007B3">
        <w:t xml:space="preserve">Details of the Government’s position on each recommendation are included in the published Response. </w:t>
      </w:r>
    </w:p>
    <w:p w:rsidR="001A4156" w:rsidRDefault="001A4156" w:rsidP="00E420D1">
      <w:r>
        <w:t xml:space="preserve">The Response is published on the Attorney-General’s Department website at </w:t>
      </w:r>
      <w:hyperlink r:id="rId11" w:history="1">
        <w:r w:rsidRPr="000E1573">
          <w:rPr>
            <w:rStyle w:val="Hyperlink"/>
          </w:rPr>
          <w:t>www.ag.gov.au/carcresponse</w:t>
        </w:r>
      </w:hyperlink>
      <w:r>
        <w:t xml:space="preserve">. </w:t>
      </w:r>
    </w:p>
    <w:p w:rsidR="000768B6" w:rsidRPr="000B6D9F" w:rsidRDefault="000768B6" w:rsidP="00E420D1">
      <w:r>
        <w:t xml:space="preserve">The Prime Minister’s media release is available at: </w:t>
      </w:r>
      <w:hyperlink r:id="rId12" w:history="1">
        <w:r w:rsidRPr="00557D19">
          <w:rPr>
            <w:rStyle w:val="Hyperlink"/>
          </w:rPr>
          <w:t>https://www.pm.gov.au/media/australian-government-response-royal-commission-institutional-responses-child-sexual-abuse</w:t>
        </w:r>
      </w:hyperlink>
      <w:r>
        <w:t xml:space="preserve"> </w:t>
      </w:r>
    </w:p>
    <w:p w:rsidR="001A4156" w:rsidRDefault="001A4156" w:rsidP="001A4156">
      <w:pPr>
        <w:pStyle w:val="Heading3"/>
      </w:pPr>
      <w:r>
        <w:lastRenderedPageBreak/>
        <w:t>Responses from state and territory governments and non-government institutions</w:t>
      </w:r>
    </w:p>
    <w:p w:rsidR="00E420D1" w:rsidRPr="00E420D1" w:rsidRDefault="00E420D1" w:rsidP="00E420D1">
      <w:r>
        <w:t xml:space="preserve">Many of the recommendations were directed at state and territory governments or non-government institutions. </w:t>
      </w:r>
      <w:r w:rsidRPr="002A7F18">
        <w:t xml:space="preserve">The Australian Government expects </w:t>
      </w:r>
      <w:r w:rsidR="000768B6" w:rsidRPr="002A7F18">
        <w:t>non-government institutions will respond to each of the Royal Commission’s recommendations, indicating what action they will take in response to them and will report on their implementation of relevant recommendations annually in December, along with all governments. Where institutions decide not to accept the Royal Commission’s recommendations they should state so and why.</w:t>
      </w:r>
    </w:p>
    <w:p w:rsidR="00975679" w:rsidRDefault="00E420D1" w:rsidP="000B6D9F">
      <w:pPr>
        <w:pStyle w:val="Heading3"/>
      </w:pPr>
      <w:r>
        <w:t xml:space="preserve">Developing the </w:t>
      </w:r>
      <w:r w:rsidR="00975679">
        <w:t xml:space="preserve">Australian Government Response </w:t>
      </w:r>
    </w:p>
    <w:p w:rsidR="00E4526A" w:rsidRDefault="00E4526A" w:rsidP="00E4526A">
      <w:r>
        <w:t>The Implementation Taskforce in the Attorney-General’s Department coordinated the Australian Government Response in close collaboration with all relevant Australian Gover</w:t>
      </w:r>
      <w:r w:rsidR="000768B6">
        <w:t xml:space="preserve">nment departments and agencies. </w:t>
      </w:r>
      <w:r>
        <w:t xml:space="preserve">Recognising the breadth of engagement required to implement the Royal Commission’s Recommendations, the </w:t>
      </w:r>
      <w:r w:rsidR="003F444A">
        <w:t xml:space="preserve">Australian Government’s </w:t>
      </w:r>
      <w:r>
        <w:t>interdepartmental committee overseeing the Response included senior officials from the departments of: the Prime Minister and Cabinet, the Treasury, Finance, Defence, Home Affairs, Social Services, Human Services, Health, Education, Infrastructure, Foreign Affairs and Trade, Veterans’ Affairs, Environment and Energy, Communications and the Arts, Jobs and Small Business and Industry. The Australian Federal Police, National Archives, National Children’s Commissioner and Australian Border Force also contributed to the committee’s work</w:t>
      </w:r>
      <w:r w:rsidR="00E420D1">
        <w:t xml:space="preserve"> and to the Response</w:t>
      </w:r>
      <w:r>
        <w:t xml:space="preserve">.  </w:t>
      </w:r>
    </w:p>
    <w:p w:rsidR="001A4156" w:rsidRDefault="007007B3" w:rsidP="001A4156">
      <w:pPr>
        <w:pStyle w:val="Heading3"/>
      </w:pPr>
      <w:r>
        <w:t>Australian Government’s k</w:t>
      </w:r>
      <w:r w:rsidR="001A4156">
        <w:t>ey measures</w:t>
      </w:r>
    </w:p>
    <w:p w:rsidR="001A4156" w:rsidRDefault="001A4156" w:rsidP="001A4156">
      <w:pPr>
        <w:pStyle w:val="ListParagraph"/>
        <w:numPr>
          <w:ilvl w:val="0"/>
          <w:numId w:val="3"/>
        </w:numPr>
      </w:pPr>
      <w:r>
        <w:t xml:space="preserve">National Office </w:t>
      </w:r>
      <w:r w:rsidR="0019091D">
        <w:t>for</w:t>
      </w:r>
      <w:r>
        <w:t xml:space="preserve"> Child Safety</w:t>
      </w:r>
    </w:p>
    <w:p w:rsidR="001A4156" w:rsidRDefault="001A4156" w:rsidP="001A4156">
      <w:pPr>
        <w:pStyle w:val="ListParagraph"/>
        <w:numPr>
          <w:ilvl w:val="0"/>
          <w:numId w:val="3"/>
        </w:numPr>
      </w:pPr>
      <w:r>
        <w:t>National Redress Scheme</w:t>
      </w:r>
    </w:p>
    <w:p w:rsidR="001A4156" w:rsidRDefault="001A4156" w:rsidP="001A4156">
      <w:pPr>
        <w:pStyle w:val="ListParagraph"/>
        <w:numPr>
          <w:ilvl w:val="0"/>
          <w:numId w:val="3"/>
        </w:numPr>
      </w:pPr>
      <w:r>
        <w:t>National Principles for Child Safe Organisations</w:t>
      </w:r>
    </w:p>
    <w:p w:rsidR="001A4156" w:rsidRDefault="001A4156" w:rsidP="0019091D">
      <w:pPr>
        <w:pStyle w:val="ListParagraph"/>
        <w:numPr>
          <w:ilvl w:val="0"/>
          <w:numId w:val="3"/>
        </w:numPr>
      </w:pPr>
      <w:r>
        <w:t>Commonwealth Child Safe Framework</w:t>
      </w:r>
    </w:p>
    <w:p w:rsidR="001A4156" w:rsidRDefault="001A4156" w:rsidP="001A4156">
      <w:pPr>
        <w:pStyle w:val="ListParagraph"/>
        <w:numPr>
          <w:ilvl w:val="0"/>
          <w:numId w:val="3"/>
        </w:numPr>
      </w:pPr>
      <w:r>
        <w:t>Australian Government support for a database to share working with children checks outcomes</w:t>
      </w:r>
    </w:p>
    <w:p w:rsidR="001A4156" w:rsidRDefault="001A4156" w:rsidP="001A4156">
      <w:pPr>
        <w:pStyle w:val="ListParagraph"/>
        <w:numPr>
          <w:ilvl w:val="0"/>
          <w:numId w:val="3"/>
        </w:numPr>
      </w:pPr>
      <w:r>
        <w:t>Guiding Principles for Commonwealth entities when responding to civil claims concerning allegations of child sexual abuse</w:t>
      </w:r>
    </w:p>
    <w:p w:rsidR="000768B6" w:rsidRPr="002A7F18" w:rsidRDefault="000768B6" w:rsidP="001A4156">
      <w:pPr>
        <w:pStyle w:val="ListParagraph"/>
        <w:numPr>
          <w:ilvl w:val="0"/>
          <w:numId w:val="3"/>
        </w:numPr>
      </w:pPr>
      <w:r w:rsidRPr="002A7F18">
        <w:t>A National Apology to be delivered on 22 October 2018</w:t>
      </w:r>
    </w:p>
    <w:p w:rsidR="000B6D9F" w:rsidRDefault="000B6D9F" w:rsidP="00E4526A">
      <w:pPr>
        <w:pStyle w:val="Heading3"/>
      </w:pPr>
      <w:r>
        <w:t>National priority recommendations</w:t>
      </w:r>
    </w:p>
    <w:p w:rsidR="00B53FF9" w:rsidRDefault="00E4526A" w:rsidP="00F93F18">
      <w:pPr>
        <w:spacing w:after="0"/>
      </w:pPr>
      <w:r>
        <w:t xml:space="preserve">The Taskforce established an interjurisdictional working group </w:t>
      </w:r>
      <w:r w:rsidR="00E420D1">
        <w:t xml:space="preserve">with all state and territory governments </w:t>
      </w:r>
      <w:r>
        <w:t>to discuss recommendations that would benefit from national consistency or coordination. Key themes agreed as priorities by all jurisdictions we</w:t>
      </w:r>
      <w:r w:rsidR="00B53FF9">
        <w:t xml:space="preserve">re: </w:t>
      </w:r>
    </w:p>
    <w:p w:rsidR="00B53FF9" w:rsidRDefault="00B53FF9" w:rsidP="00F93F18">
      <w:pPr>
        <w:pStyle w:val="ListParagraph"/>
        <w:numPr>
          <w:ilvl w:val="0"/>
          <w:numId w:val="3"/>
        </w:numPr>
      </w:pPr>
      <w:r>
        <w:t xml:space="preserve">supporting child safe organisations </w:t>
      </w:r>
    </w:p>
    <w:p w:rsidR="00B53FF9" w:rsidRDefault="00B53FF9" w:rsidP="00F93F18">
      <w:pPr>
        <w:pStyle w:val="ListParagraph"/>
        <w:numPr>
          <w:ilvl w:val="0"/>
          <w:numId w:val="3"/>
        </w:numPr>
      </w:pPr>
      <w:r>
        <w:t xml:space="preserve">improving information sharing, record keeping and data collection </w:t>
      </w:r>
    </w:p>
    <w:p w:rsidR="00B53FF9" w:rsidRDefault="00B53FF9" w:rsidP="00F93F18">
      <w:pPr>
        <w:pStyle w:val="ListParagraph"/>
        <w:numPr>
          <w:ilvl w:val="0"/>
          <w:numId w:val="3"/>
        </w:numPr>
      </w:pPr>
      <w:r>
        <w:t>addressing the complex issue of children with harmful sexual behaviours</w:t>
      </w:r>
      <w:r w:rsidR="00F93F18">
        <w:t>,</w:t>
      </w:r>
      <w:r>
        <w:t xml:space="preserve"> and </w:t>
      </w:r>
    </w:p>
    <w:p w:rsidR="00E4526A" w:rsidRDefault="00B53FF9" w:rsidP="00F93F18">
      <w:pPr>
        <w:pStyle w:val="ListParagraph"/>
        <w:numPr>
          <w:ilvl w:val="0"/>
          <w:numId w:val="3"/>
        </w:numPr>
      </w:pPr>
      <w:proofErr w:type="gramStart"/>
      <w:r>
        <w:t>annually</w:t>
      </w:r>
      <w:proofErr w:type="gramEnd"/>
      <w:r>
        <w:t xml:space="preserve"> and publicly reporting on progress. </w:t>
      </w:r>
    </w:p>
    <w:p w:rsidR="00B53FF9" w:rsidRDefault="00B53FF9" w:rsidP="00B53FF9">
      <w:r>
        <w:t>The Australian Government will continue to work with state and territory governments to progress imp</w:t>
      </w:r>
      <w:r w:rsidR="007007B3">
        <w:t xml:space="preserve">lementation of </w:t>
      </w:r>
      <w:r w:rsidR="007007B3" w:rsidRPr="002A7F18">
        <w:t>recommendations</w:t>
      </w:r>
      <w:r w:rsidR="000768B6" w:rsidRPr="002A7F18">
        <w:t>, including relating to mandatory reporting and reportable conduct</w:t>
      </w:r>
      <w:r w:rsidR="007007B3" w:rsidRPr="002A7F18">
        <w:t>.</w:t>
      </w:r>
      <w:r w:rsidR="007007B3">
        <w:t xml:space="preserve"> All governments will continue to support</w:t>
      </w:r>
      <w:r w:rsidR="001A4156">
        <w:t xml:space="preserve"> </w:t>
      </w:r>
      <w:r w:rsidR="007007B3">
        <w:t xml:space="preserve">national frameworks and strategies to </w:t>
      </w:r>
      <w:r w:rsidR="001A4156">
        <w:t>c</w:t>
      </w:r>
      <w:r w:rsidR="007007B3">
        <w:t xml:space="preserve">ontinually improve child safety. </w:t>
      </w:r>
    </w:p>
    <w:p w:rsidR="00E4526A" w:rsidRDefault="00E4526A" w:rsidP="00E4526A">
      <w:pPr>
        <w:pStyle w:val="Heading3"/>
      </w:pPr>
      <w:r>
        <w:t>Monitoring and Reporting</w:t>
      </w:r>
    </w:p>
    <w:p w:rsidR="001A4156" w:rsidRDefault="000768B6" w:rsidP="00B53FF9">
      <w:r w:rsidRPr="002A7F18">
        <w:t xml:space="preserve">As recommended by the Royal Commission, the Government will report on its progress in implementing the recommendations in December each year for the next five years and will also conduct a comprehensive review after 10 years. </w:t>
      </w:r>
      <w:r w:rsidR="001A4156" w:rsidRPr="002A7F18">
        <w:t>By December</w:t>
      </w:r>
      <w:r w:rsidR="001A4156">
        <w:t xml:space="preserve"> 2018, the Taskforce will have established a stand-alone webpage for reporting on progress towards implementing recommendations. </w:t>
      </w:r>
    </w:p>
    <w:sectPr w:rsidR="001A4156" w:rsidSect="00F93F18">
      <w:footerReference w:type="default" r:id="rId13"/>
      <w:headerReference w:type="first" r:id="rId14"/>
      <w:pgSz w:w="11906" w:h="16838"/>
      <w:pgMar w:top="826" w:right="720" w:bottom="720" w:left="72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87B" w:rsidRDefault="0020187B" w:rsidP="007D070A">
      <w:pPr>
        <w:spacing w:after="0" w:line="240" w:lineRule="auto"/>
      </w:pPr>
      <w:r>
        <w:separator/>
      </w:r>
    </w:p>
  </w:endnote>
  <w:endnote w:type="continuationSeparator" w:id="0">
    <w:p w:rsidR="0020187B" w:rsidRDefault="0020187B" w:rsidP="007D0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841122"/>
      <w:docPartObj>
        <w:docPartGallery w:val="Page Numbers (Bottom of Page)"/>
        <w:docPartUnique/>
      </w:docPartObj>
    </w:sdtPr>
    <w:sdtEndPr>
      <w:rPr>
        <w:noProof/>
      </w:rPr>
    </w:sdtEndPr>
    <w:sdtContent>
      <w:p w:rsidR="007D070A" w:rsidRDefault="00E420D1" w:rsidP="00555668">
        <w:pPr>
          <w:pStyle w:val="Footer"/>
          <w:ind w:left="-426" w:firstLine="142"/>
          <w:jc w:val="right"/>
        </w:pPr>
        <w:r>
          <w:t>Fact Sheet – Australian Government Response</w:t>
        </w:r>
        <w:r w:rsidR="007D070A">
          <w:tab/>
        </w:r>
        <w:r w:rsidR="007D070A">
          <w:tab/>
        </w:r>
        <w:r w:rsidR="007D070A">
          <w:tab/>
        </w:r>
        <w:r w:rsidR="007D070A">
          <w:fldChar w:fldCharType="begin"/>
        </w:r>
        <w:r w:rsidR="007D070A">
          <w:instrText xml:space="preserve"> PAGE   \* MERGEFORMAT </w:instrText>
        </w:r>
        <w:r w:rsidR="007D070A">
          <w:fldChar w:fldCharType="separate"/>
        </w:r>
        <w:r w:rsidR="000A0298">
          <w:rPr>
            <w:noProof/>
          </w:rPr>
          <w:t>2</w:t>
        </w:r>
        <w:r w:rsidR="007D070A">
          <w:rPr>
            <w:noProof/>
          </w:rPr>
          <w:fldChar w:fldCharType="end"/>
        </w:r>
      </w:p>
    </w:sdtContent>
  </w:sdt>
  <w:p w:rsidR="007D070A" w:rsidRDefault="007D07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87B" w:rsidRDefault="0020187B" w:rsidP="007D070A">
      <w:pPr>
        <w:spacing w:after="0" w:line="240" w:lineRule="auto"/>
      </w:pPr>
      <w:r>
        <w:separator/>
      </w:r>
    </w:p>
  </w:footnote>
  <w:footnote w:type="continuationSeparator" w:id="0">
    <w:p w:rsidR="0020187B" w:rsidRDefault="0020187B" w:rsidP="007D0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F18" w:rsidRDefault="00F93F18" w:rsidP="00F93F18">
    <w:pPr>
      <w:pStyle w:val="Header"/>
      <w:ind w:left="-426"/>
    </w:pPr>
    <w:r>
      <w:rPr>
        <w:noProof/>
        <w:lang w:eastAsia="en-AU"/>
      </w:rPr>
      <w:drawing>
        <wp:inline distT="0" distB="0" distL="0" distR="0" wp14:anchorId="109B6B88" wp14:editId="35790138">
          <wp:extent cx="7252228" cy="1812897"/>
          <wp:effectExtent l="0" t="0" r="6350" b="0"/>
          <wp:docPr id="1" name="Picture 1" descr="Australian Government crest.&#10;Australian goernment response to the Royal Commission into Institutional Respones to Child Sexual Abus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2228" cy="18128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61F"/>
    <w:multiLevelType w:val="hybridMultilevel"/>
    <w:tmpl w:val="0422D9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DB2F9D"/>
    <w:multiLevelType w:val="hybridMultilevel"/>
    <w:tmpl w:val="917CB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3A15FB9"/>
    <w:multiLevelType w:val="hybridMultilevel"/>
    <w:tmpl w:val="F132C14A"/>
    <w:lvl w:ilvl="0" w:tplc="4A24C294">
      <w:start w:val="1"/>
      <w:numFmt w:val="bullet"/>
      <w:pStyle w:val="Bullet1"/>
      <w:lvlText w:val=""/>
      <w:lvlJc w:val="left"/>
      <w:pPr>
        <w:ind w:left="720" w:hanging="360"/>
      </w:pPr>
      <w:rPr>
        <w:rFonts w:ascii="Symbol" w:hAnsi="Symbol" w:hint="default"/>
        <w:color w:val="5C5C5C"/>
      </w:rPr>
    </w:lvl>
    <w:lvl w:ilvl="1" w:tplc="BAEEB822">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0A"/>
    <w:rsid w:val="000768B6"/>
    <w:rsid w:val="000A0298"/>
    <w:rsid w:val="000B6D9F"/>
    <w:rsid w:val="000D705A"/>
    <w:rsid w:val="0019091D"/>
    <w:rsid w:val="001A4156"/>
    <w:rsid w:val="0020187B"/>
    <w:rsid w:val="002539CC"/>
    <w:rsid w:val="00275B47"/>
    <w:rsid w:val="002A7F18"/>
    <w:rsid w:val="002C4C68"/>
    <w:rsid w:val="002D21D1"/>
    <w:rsid w:val="0036271A"/>
    <w:rsid w:val="0038679D"/>
    <w:rsid w:val="003F444A"/>
    <w:rsid w:val="00555668"/>
    <w:rsid w:val="00572543"/>
    <w:rsid w:val="00605702"/>
    <w:rsid w:val="006C0EEE"/>
    <w:rsid w:val="006C16F5"/>
    <w:rsid w:val="007007B3"/>
    <w:rsid w:val="007423F9"/>
    <w:rsid w:val="00762922"/>
    <w:rsid w:val="007D070A"/>
    <w:rsid w:val="008C41F0"/>
    <w:rsid w:val="009416D3"/>
    <w:rsid w:val="00944990"/>
    <w:rsid w:val="00975679"/>
    <w:rsid w:val="00B53FF9"/>
    <w:rsid w:val="00B649DD"/>
    <w:rsid w:val="00BB0774"/>
    <w:rsid w:val="00BB784B"/>
    <w:rsid w:val="00BF48B2"/>
    <w:rsid w:val="00D349BB"/>
    <w:rsid w:val="00D9331D"/>
    <w:rsid w:val="00DF1BEF"/>
    <w:rsid w:val="00E2081A"/>
    <w:rsid w:val="00E420D1"/>
    <w:rsid w:val="00E4526A"/>
    <w:rsid w:val="00E60EDF"/>
    <w:rsid w:val="00E703BD"/>
    <w:rsid w:val="00F7768E"/>
    <w:rsid w:val="00F93F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0A"/>
    <w:rPr>
      <w:rFonts w:ascii="Calibri" w:eastAsia="Calibri" w:hAnsi="Calibri" w:cs="Calibri"/>
      <w:w w:val="105"/>
      <w:kern w:val="40"/>
    </w:rPr>
  </w:style>
  <w:style w:type="paragraph" w:styleId="Heading1">
    <w:name w:val="heading 1"/>
    <w:basedOn w:val="Normal"/>
    <w:next w:val="Normal"/>
    <w:link w:val="Heading1Char"/>
    <w:uiPriority w:val="9"/>
    <w:qFormat/>
    <w:rsid w:val="00605702"/>
    <w:pPr>
      <w:keepNext/>
      <w:spacing w:after="0" w:line="240" w:lineRule="auto"/>
      <w:jc w:val="right"/>
      <w:outlineLvl w:val="0"/>
    </w:pPr>
    <w:rPr>
      <w:rFonts w:eastAsia="SimSun" w:cs="Angsana New"/>
      <w:b/>
      <w:bCs/>
      <w:color w:val="006597"/>
      <w:kern w:val="32"/>
      <w:sz w:val="52"/>
      <w:szCs w:val="52"/>
    </w:rPr>
  </w:style>
  <w:style w:type="paragraph" w:styleId="Heading2">
    <w:name w:val="heading 2"/>
    <w:basedOn w:val="Normal"/>
    <w:next w:val="Normal"/>
    <w:link w:val="Heading2Char"/>
    <w:uiPriority w:val="9"/>
    <w:unhideWhenUsed/>
    <w:qFormat/>
    <w:rsid w:val="002C4C68"/>
    <w:pPr>
      <w:keepNext/>
      <w:spacing w:before="240" w:after="60" w:line="240" w:lineRule="auto"/>
      <w:outlineLvl w:val="1"/>
    </w:pPr>
    <w:rPr>
      <w:rFonts w:eastAsia="SimSun" w:cs="Angsana New"/>
      <w:b/>
      <w:bCs/>
      <w:iCs/>
      <w:color w:val="1F7370"/>
      <w:sz w:val="40"/>
      <w:szCs w:val="48"/>
    </w:rPr>
  </w:style>
  <w:style w:type="paragraph" w:styleId="Heading3">
    <w:name w:val="heading 3"/>
    <w:basedOn w:val="Normal"/>
    <w:next w:val="Normal"/>
    <w:link w:val="Heading3Char"/>
    <w:uiPriority w:val="9"/>
    <w:unhideWhenUsed/>
    <w:qFormat/>
    <w:rsid w:val="007D070A"/>
    <w:pPr>
      <w:keepNext/>
      <w:spacing w:after="60" w:line="240" w:lineRule="auto"/>
      <w:outlineLvl w:val="2"/>
    </w:pPr>
    <w:rPr>
      <w:rFonts w:eastAsia="SimSun" w:cs="Angsana New"/>
      <w:b/>
      <w:bCs/>
      <w:color w:val="404040"/>
      <w:sz w:val="32"/>
      <w:szCs w:val="32"/>
    </w:rPr>
  </w:style>
  <w:style w:type="paragraph" w:styleId="Heading4">
    <w:name w:val="heading 4"/>
    <w:basedOn w:val="Heading3"/>
    <w:next w:val="Normal"/>
    <w:link w:val="Heading4Char"/>
    <w:uiPriority w:val="9"/>
    <w:unhideWhenUsed/>
    <w:qFormat/>
    <w:rsid w:val="007D070A"/>
    <w:pPr>
      <w:outlineLvl w:val="3"/>
    </w:pPr>
    <w:rPr>
      <w:color w:val="595959" w:themeColor="text1" w:themeTint="A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7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70A"/>
  </w:style>
  <w:style w:type="paragraph" w:styleId="Footer">
    <w:name w:val="footer"/>
    <w:basedOn w:val="Normal"/>
    <w:link w:val="FooterChar"/>
    <w:uiPriority w:val="99"/>
    <w:unhideWhenUsed/>
    <w:rsid w:val="007D07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70A"/>
  </w:style>
  <w:style w:type="character" w:customStyle="1" w:styleId="Heading1Char">
    <w:name w:val="Heading 1 Char"/>
    <w:basedOn w:val="DefaultParagraphFont"/>
    <w:link w:val="Heading1"/>
    <w:uiPriority w:val="9"/>
    <w:rsid w:val="00605702"/>
    <w:rPr>
      <w:rFonts w:ascii="Calibri" w:eastAsia="SimSun" w:hAnsi="Calibri" w:cs="Angsana New"/>
      <w:b/>
      <w:bCs/>
      <w:color w:val="006597"/>
      <w:w w:val="105"/>
      <w:kern w:val="32"/>
      <w:sz w:val="52"/>
      <w:szCs w:val="52"/>
    </w:rPr>
  </w:style>
  <w:style w:type="character" w:customStyle="1" w:styleId="Heading2Char">
    <w:name w:val="Heading 2 Char"/>
    <w:basedOn w:val="DefaultParagraphFont"/>
    <w:link w:val="Heading2"/>
    <w:uiPriority w:val="9"/>
    <w:rsid w:val="002C4C68"/>
    <w:rPr>
      <w:rFonts w:ascii="Calibri" w:eastAsia="SimSun" w:hAnsi="Calibri" w:cs="Angsana New"/>
      <w:b/>
      <w:bCs/>
      <w:iCs/>
      <w:color w:val="1F7370"/>
      <w:w w:val="105"/>
      <w:kern w:val="40"/>
      <w:sz w:val="40"/>
      <w:szCs w:val="48"/>
    </w:rPr>
  </w:style>
  <w:style w:type="character" w:customStyle="1" w:styleId="Heading3Char">
    <w:name w:val="Heading 3 Char"/>
    <w:basedOn w:val="DefaultParagraphFont"/>
    <w:link w:val="Heading3"/>
    <w:uiPriority w:val="9"/>
    <w:rsid w:val="007D070A"/>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7D070A"/>
    <w:rPr>
      <w:rFonts w:ascii="Calibri" w:eastAsia="SimSun" w:hAnsi="Calibri" w:cs="Angsana New"/>
      <w:b/>
      <w:bCs/>
      <w:color w:val="595959" w:themeColor="text1" w:themeTint="A6"/>
      <w:w w:val="105"/>
      <w:kern w:val="40"/>
      <w:sz w:val="26"/>
      <w:szCs w:val="26"/>
    </w:rPr>
  </w:style>
  <w:style w:type="paragraph" w:styleId="Subtitle">
    <w:name w:val="Subtitle"/>
    <w:basedOn w:val="Title"/>
    <w:next w:val="Normal"/>
    <w:link w:val="SubtitleChar"/>
    <w:uiPriority w:val="11"/>
    <w:qFormat/>
    <w:rsid w:val="007D070A"/>
    <w:pPr>
      <w:pBdr>
        <w:bottom w:val="none" w:sz="0" w:space="0" w:color="auto"/>
      </w:pBdr>
      <w:spacing w:before="240" w:after="60"/>
      <w:contextualSpacing w:val="0"/>
      <w:jc w:val="right"/>
      <w:outlineLvl w:val="0"/>
    </w:pPr>
    <w:rPr>
      <w:rFonts w:ascii="Calibri" w:eastAsia="SimSun" w:hAnsi="Calibri" w:cs="Angsana New"/>
      <w:b/>
      <w:bCs/>
      <w:noProof/>
      <w:color w:val="auto"/>
      <w:spacing w:val="0"/>
      <w:sz w:val="28"/>
      <w:szCs w:val="28"/>
    </w:rPr>
  </w:style>
  <w:style w:type="character" w:customStyle="1" w:styleId="SubtitleChar">
    <w:name w:val="Subtitle Char"/>
    <w:basedOn w:val="DefaultParagraphFont"/>
    <w:link w:val="Subtitle"/>
    <w:uiPriority w:val="11"/>
    <w:rsid w:val="007D070A"/>
    <w:rPr>
      <w:rFonts w:ascii="Calibri" w:eastAsia="SimSun" w:hAnsi="Calibri" w:cs="Angsana New"/>
      <w:b/>
      <w:bCs/>
      <w:noProof/>
      <w:w w:val="105"/>
      <w:kern w:val="28"/>
      <w:sz w:val="28"/>
      <w:szCs w:val="28"/>
    </w:rPr>
  </w:style>
  <w:style w:type="paragraph" w:customStyle="1" w:styleId="Bullet1">
    <w:name w:val="Bullet 1"/>
    <w:basedOn w:val="ListBullet2"/>
    <w:autoRedefine/>
    <w:qFormat/>
    <w:rsid w:val="007D070A"/>
    <w:pPr>
      <w:numPr>
        <w:ilvl w:val="0"/>
      </w:numPr>
      <w:ind w:left="567" w:hanging="567"/>
    </w:pPr>
  </w:style>
  <w:style w:type="paragraph" w:styleId="ListBullet2">
    <w:name w:val="List Bullet 2"/>
    <w:basedOn w:val="ListBullet"/>
    <w:autoRedefine/>
    <w:uiPriority w:val="99"/>
    <w:unhideWhenUsed/>
    <w:qFormat/>
    <w:rsid w:val="00BB784B"/>
    <w:pPr>
      <w:ind w:left="1134" w:hanging="567"/>
    </w:pPr>
  </w:style>
  <w:style w:type="paragraph" w:styleId="ListBullet">
    <w:name w:val="List Bullet"/>
    <w:aliases w:val="List Bullet 1"/>
    <w:basedOn w:val="Normal"/>
    <w:uiPriority w:val="99"/>
    <w:unhideWhenUsed/>
    <w:rsid w:val="007D070A"/>
    <w:pPr>
      <w:numPr>
        <w:ilvl w:val="1"/>
        <w:numId w:val="1"/>
      </w:numPr>
      <w:ind w:left="1440"/>
      <w:contextualSpacing/>
    </w:pPr>
  </w:style>
  <w:style w:type="paragraph" w:styleId="Title">
    <w:name w:val="Title"/>
    <w:basedOn w:val="Normal"/>
    <w:next w:val="Normal"/>
    <w:link w:val="TitleChar"/>
    <w:uiPriority w:val="10"/>
    <w:qFormat/>
    <w:rsid w:val="007D07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D070A"/>
    <w:rPr>
      <w:rFonts w:asciiTheme="majorHAnsi" w:eastAsiaTheme="majorEastAsia" w:hAnsiTheme="majorHAnsi" w:cstheme="majorBidi"/>
      <w:color w:val="17365D" w:themeColor="text2" w:themeShade="BF"/>
      <w:spacing w:val="5"/>
      <w:w w:val="105"/>
      <w:kern w:val="28"/>
      <w:sz w:val="52"/>
      <w:szCs w:val="52"/>
    </w:rPr>
  </w:style>
  <w:style w:type="paragraph" w:styleId="BalloonText">
    <w:name w:val="Balloon Text"/>
    <w:basedOn w:val="Normal"/>
    <w:link w:val="BalloonTextChar"/>
    <w:uiPriority w:val="99"/>
    <w:semiHidden/>
    <w:unhideWhenUsed/>
    <w:rsid w:val="00555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668"/>
    <w:rPr>
      <w:rFonts w:ascii="Tahoma" w:eastAsia="Calibri" w:hAnsi="Tahoma" w:cs="Tahoma"/>
      <w:w w:val="105"/>
      <w:kern w:val="40"/>
      <w:sz w:val="16"/>
      <w:szCs w:val="16"/>
    </w:rPr>
  </w:style>
  <w:style w:type="paragraph" w:styleId="ListParagraph">
    <w:name w:val="List Paragraph"/>
    <w:basedOn w:val="Normal"/>
    <w:uiPriority w:val="34"/>
    <w:qFormat/>
    <w:rsid w:val="006C16F5"/>
    <w:pPr>
      <w:ind w:left="720"/>
      <w:contextualSpacing/>
    </w:pPr>
  </w:style>
  <w:style w:type="paragraph" w:customStyle="1" w:styleId="Default">
    <w:name w:val="Default"/>
    <w:rsid w:val="00B53FF9"/>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1A41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0A"/>
    <w:rPr>
      <w:rFonts w:ascii="Calibri" w:eastAsia="Calibri" w:hAnsi="Calibri" w:cs="Calibri"/>
      <w:w w:val="105"/>
      <w:kern w:val="40"/>
    </w:rPr>
  </w:style>
  <w:style w:type="paragraph" w:styleId="Heading1">
    <w:name w:val="heading 1"/>
    <w:basedOn w:val="Normal"/>
    <w:next w:val="Normal"/>
    <w:link w:val="Heading1Char"/>
    <w:uiPriority w:val="9"/>
    <w:qFormat/>
    <w:rsid w:val="00605702"/>
    <w:pPr>
      <w:keepNext/>
      <w:spacing w:after="0" w:line="240" w:lineRule="auto"/>
      <w:jc w:val="right"/>
      <w:outlineLvl w:val="0"/>
    </w:pPr>
    <w:rPr>
      <w:rFonts w:eastAsia="SimSun" w:cs="Angsana New"/>
      <w:b/>
      <w:bCs/>
      <w:color w:val="006597"/>
      <w:kern w:val="32"/>
      <w:sz w:val="52"/>
      <w:szCs w:val="52"/>
    </w:rPr>
  </w:style>
  <w:style w:type="paragraph" w:styleId="Heading2">
    <w:name w:val="heading 2"/>
    <w:basedOn w:val="Normal"/>
    <w:next w:val="Normal"/>
    <w:link w:val="Heading2Char"/>
    <w:uiPriority w:val="9"/>
    <w:unhideWhenUsed/>
    <w:qFormat/>
    <w:rsid w:val="002C4C68"/>
    <w:pPr>
      <w:keepNext/>
      <w:spacing w:before="240" w:after="60" w:line="240" w:lineRule="auto"/>
      <w:outlineLvl w:val="1"/>
    </w:pPr>
    <w:rPr>
      <w:rFonts w:eastAsia="SimSun" w:cs="Angsana New"/>
      <w:b/>
      <w:bCs/>
      <w:iCs/>
      <w:color w:val="1F7370"/>
      <w:sz w:val="40"/>
      <w:szCs w:val="48"/>
    </w:rPr>
  </w:style>
  <w:style w:type="paragraph" w:styleId="Heading3">
    <w:name w:val="heading 3"/>
    <w:basedOn w:val="Normal"/>
    <w:next w:val="Normal"/>
    <w:link w:val="Heading3Char"/>
    <w:uiPriority w:val="9"/>
    <w:unhideWhenUsed/>
    <w:qFormat/>
    <w:rsid w:val="007D070A"/>
    <w:pPr>
      <w:keepNext/>
      <w:spacing w:after="60" w:line="240" w:lineRule="auto"/>
      <w:outlineLvl w:val="2"/>
    </w:pPr>
    <w:rPr>
      <w:rFonts w:eastAsia="SimSun" w:cs="Angsana New"/>
      <w:b/>
      <w:bCs/>
      <w:color w:val="404040"/>
      <w:sz w:val="32"/>
      <w:szCs w:val="32"/>
    </w:rPr>
  </w:style>
  <w:style w:type="paragraph" w:styleId="Heading4">
    <w:name w:val="heading 4"/>
    <w:basedOn w:val="Heading3"/>
    <w:next w:val="Normal"/>
    <w:link w:val="Heading4Char"/>
    <w:uiPriority w:val="9"/>
    <w:unhideWhenUsed/>
    <w:qFormat/>
    <w:rsid w:val="007D070A"/>
    <w:pPr>
      <w:outlineLvl w:val="3"/>
    </w:pPr>
    <w:rPr>
      <w:color w:val="595959" w:themeColor="text1" w:themeTint="A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7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70A"/>
  </w:style>
  <w:style w:type="paragraph" w:styleId="Footer">
    <w:name w:val="footer"/>
    <w:basedOn w:val="Normal"/>
    <w:link w:val="FooterChar"/>
    <w:uiPriority w:val="99"/>
    <w:unhideWhenUsed/>
    <w:rsid w:val="007D07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70A"/>
  </w:style>
  <w:style w:type="character" w:customStyle="1" w:styleId="Heading1Char">
    <w:name w:val="Heading 1 Char"/>
    <w:basedOn w:val="DefaultParagraphFont"/>
    <w:link w:val="Heading1"/>
    <w:uiPriority w:val="9"/>
    <w:rsid w:val="00605702"/>
    <w:rPr>
      <w:rFonts w:ascii="Calibri" w:eastAsia="SimSun" w:hAnsi="Calibri" w:cs="Angsana New"/>
      <w:b/>
      <w:bCs/>
      <w:color w:val="006597"/>
      <w:w w:val="105"/>
      <w:kern w:val="32"/>
      <w:sz w:val="52"/>
      <w:szCs w:val="52"/>
    </w:rPr>
  </w:style>
  <w:style w:type="character" w:customStyle="1" w:styleId="Heading2Char">
    <w:name w:val="Heading 2 Char"/>
    <w:basedOn w:val="DefaultParagraphFont"/>
    <w:link w:val="Heading2"/>
    <w:uiPriority w:val="9"/>
    <w:rsid w:val="002C4C68"/>
    <w:rPr>
      <w:rFonts w:ascii="Calibri" w:eastAsia="SimSun" w:hAnsi="Calibri" w:cs="Angsana New"/>
      <w:b/>
      <w:bCs/>
      <w:iCs/>
      <w:color w:val="1F7370"/>
      <w:w w:val="105"/>
      <w:kern w:val="40"/>
      <w:sz w:val="40"/>
      <w:szCs w:val="48"/>
    </w:rPr>
  </w:style>
  <w:style w:type="character" w:customStyle="1" w:styleId="Heading3Char">
    <w:name w:val="Heading 3 Char"/>
    <w:basedOn w:val="DefaultParagraphFont"/>
    <w:link w:val="Heading3"/>
    <w:uiPriority w:val="9"/>
    <w:rsid w:val="007D070A"/>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7D070A"/>
    <w:rPr>
      <w:rFonts w:ascii="Calibri" w:eastAsia="SimSun" w:hAnsi="Calibri" w:cs="Angsana New"/>
      <w:b/>
      <w:bCs/>
      <w:color w:val="595959" w:themeColor="text1" w:themeTint="A6"/>
      <w:w w:val="105"/>
      <w:kern w:val="40"/>
      <w:sz w:val="26"/>
      <w:szCs w:val="26"/>
    </w:rPr>
  </w:style>
  <w:style w:type="paragraph" w:styleId="Subtitle">
    <w:name w:val="Subtitle"/>
    <w:basedOn w:val="Title"/>
    <w:next w:val="Normal"/>
    <w:link w:val="SubtitleChar"/>
    <w:uiPriority w:val="11"/>
    <w:qFormat/>
    <w:rsid w:val="007D070A"/>
    <w:pPr>
      <w:pBdr>
        <w:bottom w:val="none" w:sz="0" w:space="0" w:color="auto"/>
      </w:pBdr>
      <w:spacing w:before="240" w:after="60"/>
      <w:contextualSpacing w:val="0"/>
      <w:jc w:val="right"/>
      <w:outlineLvl w:val="0"/>
    </w:pPr>
    <w:rPr>
      <w:rFonts w:ascii="Calibri" w:eastAsia="SimSun" w:hAnsi="Calibri" w:cs="Angsana New"/>
      <w:b/>
      <w:bCs/>
      <w:noProof/>
      <w:color w:val="auto"/>
      <w:spacing w:val="0"/>
      <w:sz w:val="28"/>
      <w:szCs w:val="28"/>
    </w:rPr>
  </w:style>
  <w:style w:type="character" w:customStyle="1" w:styleId="SubtitleChar">
    <w:name w:val="Subtitle Char"/>
    <w:basedOn w:val="DefaultParagraphFont"/>
    <w:link w:val="Subtitle"/>
    <w:uiPriority w:val="11"/>
    <w:rsid w:val="007D070A"/>
    <w:rPr>
      <w:rFonts w:ascii="Calibri" w:eastAsia="SimSun" w:hAnsi="Calibri" w:cs="Angsana New"/>
      <w:b/>
      <w:bCs/>
      <w:noProof/>
      <w:w w:val="105"/>
      <w:kern w:val="28"/>
      <w:sz w:val="28"/>
      <w:szCs w:val="28"/>
    </w:rPr>
  </w:style>
  <w:style w:type="paragraph" w:customStyle="1" w:styleId="Bullet1">
    <w:name w:val="Bullet 1"/>
    <w:basedOn w:val="ListBullet2"/>
    <w:autoRedefine/>
    <w:qFormat/>
    <w:rsid w:val="007D070A"/>
    <w:pPr>
      <w:numPr>
        <w:ilvl w:val="0"/>
      </w:numPr>
      <w:ind w:left="567" w:hanging="567"/>
    </w:pPr>
  </w:style>
  <w:style w:type="paragraph" w:styleId="ListBullet2">
    <w:name w:val="List Bullet 2"/>
    <w:basedOn w:val="ListBullet"/>
    <w:autoRedefine/>
    <w:uiPriority w:val="99"/>
    <w:unhideWhenUsed/>
    <w:qFormat/>
    <w:rsid w:val="00BB784B"/>
    <w:pPr>
      <w:ind w:left="1134" w:hanging="567"/>
    </w:pPr>
  </w:style>
  <w:style w:type="paragraph" w:styleId="ListBullet">
    <w:name w:val="List Bullet"/>
    <w:aliases w:val="List Bullet 1"/>
    <w:basedOn w:val="Normal"/>
    <w:uiPriority w:val="99"/>
    <w:unhideWhenUsed/>
    <w:rsid w:val="007D070A"/>
    <w:pPr>
      <w:numPr>
        <w:ilvl w:val="1"/>
        <w:numId w:val="1"/>
      </w:numPr>
      <w:ind w:left="1440"/>
      <w:contextualSpacing/>
    </w:pPr>
  </w:style>
  <w:style w:type="paragraph" w:styleId="Title">
    <w:name w:val="Title"/>
    <w:basedOn w:val="Normal"/>
    <w:next w:val="Normal"/>
    <w:link w:val="TitleChar"/>
    <w:uiPriority w:val="10"/>
    <w:qFormat/>
    <w:rsid w:val="007D07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D070A"/>
    <w:rPr>
      <w:rFonts w:asciiTheme="majorHAnsi" w:eastAsiaTheme="majorEastAsia" w:hAnsiTheme="majorHAnsi" w:cstheme="majorBidi"/>
      <w:color w:val="17365D" w:themeColor="text2" w:themeShade="BF"/>
      <w:spacing w:val="5"/>
      <w:w w:val="105"/>
      <w:kern w:val="28"/>
      <w:sz w:val="52"/>
      <w:szCs w:val="52"/>
    </w:rPr>
  </w:style>
  <w:style w:type="paragraph" w:styleId="BalloonText">
    <w:name w:val="Balloon Text"/>
    <w:basedOn w:val="Normal"/>
    <w:link w:val="BalloonTextChar"/>
    <w:uiPriority w:val="99"/>
    <w:semiHidden/>
    <w:unhideWhenUsed/>
    <w:rsid w:val="00555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668"/>
    <w:rPr>
      <w:rFonts w:ascii="Tahoma" w:eastAsia="Calibri" w:hAnsi="Tahoma" w:cs="Tahoma"/>
      <w:w w:val="105"/>
      <w:kern w:val="40"/>
      <w:sz w:val="16"/>
      <w:szCs w:val="16"/>
    </w:rPr>
  </w:style>
  <w:style w:type="paragraph" w:styleId="ListParagraph">
    <w:name w:val="List Paragraph"/>
    <w:basedOn w:val="Normal"/>
    <w:uiPriority w:val="34"/>
    <w:qFormat/>
    <w:rsid w:val="006C16F5"/>
    <w:pPr>
      <w:ind w:left="720"/>
      <w:contextualSpacing/>
    </w:pPr>
  </w:style>
  <w:style w:type="paragraph" w:customStyle="1" w:styleId="Default">
    <w:name w:val="Default"/>
    <w:rsid w:val="00B53FF9"/>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1A41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m.gov.au/media/australian-government-response-royal-commission-institutional-responses-child-sexual-abu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ag.gov.au/carcrespons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2C0401DB0DE546A8A25A670D3D4654" ma:contentTypeVersion="1" ma:contentTypeDescription="Create a new document." ma:contentTypeScope="" ma:versionID="af1740239e568d213dd52232a9b98862">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9EC35-AE06-4121-9FB5-988BA33B37CF}">
  <ds:schemaRefs>
    <ds:schemaRef ds:uri="http://www.w3.org/XML/1998/namespace"/>
    <ds:schemaRef ds:uri="http://schemas.microsoft.com/sharepoint/v3"/>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02B5EFD-0641-40A3-B44D-6FF38A647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2E989-3CAB-4598-9299-B3F5105D4D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891</Words>
  <Characters>5079</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Royal Commission into Institutional Responses to Child Sexual Abuse - Fact Sheet</vt:lpstr>
    </vt:vector>
  </TitlesOfParts>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Royal Commission into Institutional Responses to Child Sexual Abuse - Fact Sheet</dc:title>
  <dc:creator/>
  <cp:lastModifiedBy/>
  <cp:revision>1</cp:revision>
  <dcterms:created xsi:type="dcterms:W3CDTF">2019-03-08T03:45:00Z</dcterms:created>
  <dcterms:modified xsi:type="dcterms:W3CDTF">2019-03-08T03:45:00Z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0x010100FF2C0401DB0DE546A8A25A670D3D4654</vt:lpwstr>
  </property>
  <property fmtid="{D5CDD505-2E9C-101B-9397-08002B2CF9AE}" pid="3" name="Order">
    <vt:r8>1100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